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EB524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E5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B26E5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24F29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24F29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ППиСР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 xml:space="preserve">.п.н., </w:t>
      </w:r>
      <w:r w:rsidR="00024F29">
        <w:rPr>
          <w:spacing w:val="-3"/>
          <w:sz w:val="24"/>
          <w:szCs w:val="24"/>
          <w:lang w:eastAsia="en-US"/>
        </w:rPr>
        <w:t xml:space="preserve">профессор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</w:t>
      </w:r>
      <w:r w:rsidR="00024F29">
        <w:rPr>
          <w:sz w:val="24"/>
          <w:szCs w:val="24"/>
          <w:lang w:eastAsia="en-US"/>
        </w:rPr>
        <w:t>ными актами ЧУ</w:t>
      </w:r>
      <w:r w:rsidRPr="00B13AC1">
        <w:rPr>
          <w:sz w:val="24"/>
          <w:szCs w:val="24"/>
          <w:lang w:eastAsia="en-US"/>
        </w:rPr>
        <w:t>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r w:rsidRPr="00B43597">
        <w:rPr>
          <w:sz w:val="24"/>
          <w:szCs w:val="24"/>
          <w:lang w:eastAsia="en-US"/>
        </w:rPr>
        <w:lastRenderedPageBreak/>
        <w:t xml:space="preserve">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2. анализ воспитательной деятельности в школе, 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lastRenderedPageBreak/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http://www.iprbookshop.ru/72522.html...—.—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</w:t>
      </w:r>
      <w:r w:rsidRPr="00B4359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ПРОГРАММНОГО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MicrosoftWindows</w:t>
      </w:r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B26E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B26E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B26E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B26E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B26E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</w:t>
      </w:r>
      <w:r w:rsidRPr="00B43597">
        <w:rPr>
          <w:sz w:val="24"/>
          <w:szCs w:val="24"/>
        </w:rPr>
        <w:lastRenderedPageBreak/>
        <w:t>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24F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26E5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26E5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26E5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C2" w:rsidRDefault="006851C2" w:rsidP="00160BC1">
      <w:r>
        <w:separator/>
      </w:r>
    </w:p>
  </w:endnote>
  <w:endnote w:type="continuationSeparator" w:id="0">
    <w:p w:rsidR="006851C2" w:rsidRDefault="006851C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C2" w:rsidRDefault="006851C2" w:rsidP="00160BC1">
      <w:r>
        <w:separator/>
      </w:r>
    </w:p>
  </w:footnote>
  <w:footnote w:type="continuationSeparator" w:id="0">
    <w:p w:rsidR="006851C2" w:rsidRDefault="006851C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BC4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26E51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24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EB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2022-11-13T19:33:00Z</dcterms:modified>
</cp:coreProperties>
</file>